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Pr="009F389E" w:rsidRDefault="009F389E" w:rsidP="009F389E">
      <w:pPr>
        <w:pStyle w:val="a3"/>
        <w:numPr>
          <w:ilvl w:val="0"/>
          <w:numId w:val="1"/>
        </w:numPr>
        <w:spacing w:before="0" w:beforeAutospacing="0" w:after="0" w:afterAutospacing="0"/>
        <w:rPr>
          <w:rFonts w:ascii="Times New Roman" w:hAnsi="Times New Roman"/>
          <w:b/>
          <w:color w:val="000000"/>
          <w:sz w:val="24"/>
          <w:szCs w:val="24"/>
          <w:lang w:val="kk-KZ"/>
        </w:rPr>
      </w:pPr>
      <w:r>
        <w:rPr>
          <w:rFonts w:ascii="Times New Roman" w:hAnsi="Times New Roman"/>
          <w:color w:val="000000"/>
          <w:sz w:val="24"/>
          <w:szCs w:val="24"/>
          <w:lang w:val="kk-KZ"/>
        </w:rPr>
        <w:t>Қосалқы тсанцияны найзағайдың түсуінен қорғау үшін қандай шаралар қолданылады?</w:t>
      </w:r>
    </w:p>
    <w:p w:rsidR="009F389E" w:rsidRPr="009F389E" w:rsidRDefault="009F389E" w:rsidP="009F389E">
      <w:pPr>
        <w:pStyle w:val="a3"/>
        <w:numPr>
          <w:ilvl w:val="0"/>
          <w:numId w:val="1"/>
        </w:numPr>
        <w:spacing w:before="0" w:beforeAutospacing="0" w:after="0" w:afterAutospacing="0"/>
        <w:rPr>
          <w:rFonts w:ascii="Times New Roman" w:hAnsi="Times New Roman"/>
          <w:b/>
          <w:color w:val="000000"/>
          <w:sz w:val="24"/>
          <w:szCs w:val="24"/>
          <w:lang w:val="kk-KZ"/>
        </w:rPr>
      </w:pPr>
      <w:r>
        <w:rPr>
          <w:rFonts w:ascii="Times New Roman" w:hAnsi="Times New Roman"/>
          <w:color w:val="000000"/>
          <w:sz w:val="24"/>
          <w:szCs w:val="24"/>
          <w:lang w:val="kk-KZ"/>
        </w:rPr>
        <w:t>Найзағай өткізгіштерді орнату түрлері</w:t>
      </w:r>
    </w:p>
    <w:p w:rsidR="009F389E" w:rsidRPr="009F389E" w:rsidRDefault="009F389E" w:rsidP="009F389E">
      <w:pPr>
        <w:pStyle w:val="a3"/>
        <w:numPr>
          <w:ilvl w:val="0"/>
          <w:numId w:val="1"/>
        </w:numPr>
        <w:spacing w:before="0" w:beforeAutospacing="0" w:after="0" w:afterAutospacing="0"/>
        <w:rPr>
          <w:rFonts w:ascii="Times New Roman" w:hAnsi="Times New Roman"/>
          <w:b/>
          <w:color w:val="000000"/>
          <w:sz w:val="24"/>
          <w:szCs w:val="24"/>
          <w:lang w:val="kk-KZ"/>
        </w:rPr>
      </w:pPr>
      <w:r>
        <w:rPr>
          <w:rFonts w:ascii="Times New Roman" w:hAnsi="Times New Roman"/>
          <w:color w:val="000000"/>
          <w:sz w:val="24"/>
          <w:szCs w:val="24"/>
          <w:lang w:val="kk-KZ"/>
        </w:rPr>
        <w:t>Қай жағдайда найзағай өткізгіштерді трансформатор порталдарына орналастыруға болады?</w:t>
      </w:r>
    </w:p>
    <w:p w:rsidR="009F389E" w:rsidRPr="009F389E" w:rsidRDefault="009F389E" w:rsidP="009F389E">
      <w:pPr>
        <w:pStyle w:val="a3"/>
        <w:numPr>
          <w:ilvl w:val="0"/>
          <w:numId w:val="1"/>
        </w:numPr>
        <w:spacing w:before="0" w:beforeAutospacing="0" w:after="0" w:afterAutospacing="0"/>
        <w:rPr>
          <w:rFonts w:ascii="Times New Roman" w:hAnsi="Times New Roman"/>
          <w:b/>
          <w:color w:val="000000"/>
          <w:sz w:val="24"/>
          <w:szCs w:val="24"/>
          <w:lang w:val="kk-KZ"/>
        </w:rPr>
      </w:pPr>
      <w:r>
        <w:rPr>
          <w:rFonts w:ascii="Times New Roman" w:hAnsi="Times New Roman"/>
          <w:color w:val="000000"/>
          <w:sz w:val="24"/>
          <w:szCs w:val="24"/>
          <w:lang w:val="kk-KZ"/>
        </w:rPr>
        <w:t>Қосалқы станцияға кіріс (подход) дегеніміз не, ол не үшін қажет?</w:t>
      </w:r>
    </w:p>
    <w:p w:rsidR="009F389E" w:rsidRDefault="009F389E" w:rsidP="009F389E">
      <w:pPr>
        <w:pStyle w:val="a3"/>
        <w:numPr>
          <w:ilvl w:val="0"/>
          <w:numId w:val="1"/>
        </w:numPr>
        <w:spacing w:before="0" w:beforeAutospacing="0" w:after="0" w:afterAutospacing="0"/>
        <w:rPr>
          <w:rFonts w:ascii="Times New Roman" w:hAnsi="Times New Roman"/>
          <w:b/>
          <w:color w:val="000000"/>
          <w:sz w:val="24"/>
          <w:szCs w:val="24"/>
          <w:lang w:val="kk-KZ"/>
        </w:rPr>
      </w:pPr>
      <w:r>
        <w:rPr>
          <w:rFonts w:ascii="Times New Roman" w:hAnsi="Times New Roman"/>
          <w:color w:val="000000"/>
          <w:sz w:val="24"/>
          <w:szCs w:val="24"/>
          <w:lang w:val="kk-KZ"/>
        </w:rPr>
        <w:t>Найзағай өткізгіш аймағын есептеу әдістері</w:t>
      </w: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Pr="009F389E" w:rsidRDefault="009F389E" w:rsidP="009F389E">
      <w:pPr>
        <w:pStyle w:val="a3"/>
        <w:tabs>
          <w:tab w:val="left" w:pos="1125"/>
        </w:tabs>
        <w:spacing w:before="0" w:beforeAutospacing="0" w:after="0" w:afterAutospacing="0"/>
        <w:rPr>
          <w:rFonts w:ascii="Times New Roman" w:hAnsi="Times New Roman"/>
          <w:b/>
          <w:color w:val="FF0000"/>
          <w:sz w:val="24"/>
          <w:szCs w:val="24"/>
          <w:lang w:val="kk-KZ"/>
        </w:rPr>
      </w:pPr>
      <w:r>
        <w:rPr>
          <w:rFonts w:ascii="Times New Roman" w:hAnsi="Times New Roman"/>
          <w:b/>
          <w:color w:val="000000"/>
          <w:sz w:val="24"/>
          <w:szCs w:val="24"/>
          <w:lang w:val="kk-KZ"/>
        </w:rPr>
        <w:tab/>
      </w:r>
      <w:r>
        <w:rPr>
          <w:rFonts w:ascii="Times New Roman" w:hAnsi="Times New Roman"/>
          <w:b/>
          <w:color w:val="FF0000"/>
          <w:sz w:val="24"/>
          <w:szCs w:val="24"/>
          <w:lang w:val="kk-KZ"/>
        </w:rPr>
        <w:t>(сұрақтарға жазбаша түрде жауап қайтарыңыз)</w:t>
      </w: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ind w:left="0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9F389E" w:rsidRPr="002921D0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2921D0">
        <w:rPr>
          <w:rFonts w:ascii="Times New Roman" w:hAnsi="Times New Roman"/>
          <w:b/>
          <w:color w:val="000000"/>
          <w:sz w:val="24"/>
          <w:szCs w:val="24"/>
        </w:rPr>
        <w:t>Защита от прямых ударов молнии (ПУМ)</w:t>
      </w:r>
    </w:p>
    <w:p w:rsidR="009F389E" w:rsidRPr="002921D0" w:rsidRDefault="009F389E" w:rsidP="009F389E">
      <w:pPr>
        <w:pStyle w:val="a3"/>
        <w:spacing w:before="0" w:beforeAutospacing="0" w:after="0" w:afterAutospacing="0"/>
        <w:ind w:firstLine="601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lastRenderedPageBreak/>
        <w:t xml:space="preserve">В ПЭУ сказано [1]: ОРУ-35-500 кВ должны быть защищены от прямых ударов молнии (ПУМ). </w:t>
      </w:r>
      <w:r w:rsidRPr="006A4BC2">
        <w:rPr>
          <w:rFonts w:ascii="Times New Roman" w:hAnsi="Times New Roman"/>
          <w:color w:val="FF0000"/>
          <w:sz w:val="24"/>
          <w:szCs w:val="24"/>
        </w:rPr>
        <w:t>Открытые подстанции</w:t>
      </w:r>
      <w:r w:rsidRPr="002921D0">
        <w:rPr>
          <w:rFonts w:ascii="Times New Roman" w:hAnsi="Times New Roman"/>
          <w:color w:val="000000"/>
          <w:sz w:val="24"/>
          <w:szCs w:val="24"/>
        </w:rPr>
        <w:t xml:space="preserve"> защищаются от прямых ударов молнии стержневыми молниеотводами</w:t>
      </w:r>
      <w:proofErr w:type="gramStart"/>
      <w:r w:rsidRPr="002921D0">
        <w:rPr>
          <w:rFonts w:ascii="Times New Roman" w:hAnsi="Times New Roman"/>
          <w:color w:val="000000"/>
          <w:sz w:val="24"/>
          <w:szCs w:val="24"/>
        </w:rPr>
        <w:t xml:space="preserve"> .</w:t>
      </w:r>
      <w:proofErr w:type="gramEnd"/>
    </w:p>
    <w:p w:rsidR="009F389E" w:rsidRPr="002921D0" w:rsidRDefault="009F389E" w:rsidP="009F389E">
      <w:pPr>
        <w:pStyle w:val="a3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Возможны два способа защиты подстанций.</w:t>
      </w:r>
    </w:p>
    <w:p w:rsidR="009F389E" w:rsidRPr="002921D0" w:rsidRDefault="009F389E" w:rsidP="009F389E">
      <w:pPr>
        <w:pStyle w:val="a3"/>
        <w:spacing w:before="0" w:beforeAutospacing="0" w:after="0" w:afterAutospacing="0"/>
        <w:ind w:firstLine="601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1. Установка молниеотводов на конструкциях и подсоединение их к общему заземляющему устройству подстанции (рис.6.1,а).</w:t>
      </w:r>
    </w:p>
    <w:p w:rsidR="009F389E" w:rsidRPr="002921D0" w:rsidRDefault="009F389E" w:rsidP="009F389E">
      <w:pPr>
        <w:pStyle w:val="a3"/>
        <w:spacing w:before="0" w:beforeAutospacing="0" w:after="0" w:afterAutospacing="0"/>
        <w:ind w:firstLine="601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2. Установка отдельно стоящих молниеотводов со своими обособленными заземлениями (рис.6.1,б).</w:t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Первый способ защиты дешевле, так как требует значительно меньше металла на изготовление молниеотводов и заземляющих устройств. По этому способу используется высота конструкций, и молниеотводы получаются меньшей высоты, так как они ближе расположены к защищаемому оборудованию и эффективнее используются их защитные зоны. Однако при поражении такого молниеотвода ударом молнии с большой амплитудой тока и высокой крутизной фронта волны значительно возрастает напряжение на заземленных конструкциях с молниеотводами. Это может привести к перекрытию изоляции между токоведущими частями и заземленными конструкциями, что снижает надежность этого способа защиты.</w:t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>
            <wp:extent cx="2381250" cy="1992630"/>
            <wp:effectExtent l="19050" t="0" r="0" b="0"/>
            <wp:docPr id="1" name="Рисунок 1" descr="http://konspekta.net/studopediaorg/baza8/1419586061885.files/image0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konspekta.net/studopediaorg/baza8/1419586061885.files/image05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992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921D0"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>
            <wp:extent cx="3329940" cy="2183765"/>
            <wp:effectExtent l="19050" t="0" r="3810" b="0"/>
            <wp:docPr id="2" name="Рисунок 2" descr="http://konspekta.net/studopediaorg/baza8/1419586061885.files/image0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konspekta.net/studopediaorg/baza8/1419586061885.files/image06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9940" cy="2183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Рис.6.1. Установка молниеотводов: а) на конструкциях и подсоединение их к общему заземляющему устройству подстанции; б) отдельно стоящих со своими обособленными заземлениями</w:t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 </w:t>
      </w:r>
    </w:p>
    <w:p w:rsidR="009F389E" w:rsidRPr="002921D0" w:rsidRDefault="009F389E" w:rsidP="009F389E">
      <w:pPr>
        <w:pStyle w:val="a3"/>
        <w:spacing w:before="0" w:beforeAutospacing="0" w:after="0" w:afterAutospacing="0"/>
        <w:ind w:firstLine="601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 xml:space="preserve">Отдельно стоящие молниеотводы </w:t>
      </w:r>
      <w:proofErr w:type="gramStart"/>
      <w:r w:rsidRPr="002921D0">
        <w:rPr>
          <w:rFonts w:ascii="Times New Roman" w:hAnsi="Times New Roman"/>
          <w:color w:val="000000"/>
          <w:sz w:val="24"/>
          <w:szCs w:val="24"/>
        </w:rPr>
        <w:t>с</w:t>
      </w:r>
      <w:proofErr w:type="gramEnd"/>
      <w:r w:rsidRPr="002921D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Pr="002921D0">
        <w:rPr>
          <w:rFonts w:ascii="Times New Roman" w:hAnsi="Times New Roman"/>
          <w:color w:val="000000"/>
          <w:sz w:val="24"/>
          <w:szCs w:val="24"/>
        </w:rPr>
        <w:t>обособленными</w:t>
      </w:r>
      <w:proofErr w:type="gramEnd"/>
      <w:r w:rsidRPr="002921D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921D0">
        <w:rPr>
          <w:rFonts w:ascii="Times New Roman" w:hAnsi="Times New Roman"/>
          <w:color w:val="000000"/>
          <w:sz w:val="24"/>
          <w:szCs w:val="24"/>
        </w:rPr>
        <w:t>заземлителями</w:t>
      </w:r>
      <w:proofErr w:type="spellEnd"/>
      <w:r w:rsidRPr="002921D0">
        <w:rPr>
          <w:rFonts w:ascii="Times New Roman" w:hAnsi="Times New Roman"/>
          <w:color w:val="000000"/>
          <w:sz w:val="24"/>
          <w:szCs w:val="24"/>
        </w:rPr>
        <w:t xml:space="preserve"> можно установить так, что практически полностью исключаются перекрытия с заземленных молниеотводов на токоведущие части подстанции. Поэтому второй способ защиты </w:t>
      </w:r>
      <w:r w:rsidRPr="0005798C">
        <w:rPr>
          <w:rFonts w:ascii="Times New Roman" w:hAnsi="Times New Roman"/>
          <w:color w:val="FF0000"/>
          <w:sz w:val="24"/>
          <w:szCs w:val="24"/>
        </w:rPr>
        <w:t>оказывается надежнее</w:t>
      </w:r>
      <w:r w:rsidRPr="002921D0">
        <w:rPr>
          <w:rFonts w:ascii="Times New Roman" w:hAnsi="Times New Roman"/>
          <w:color w:val="000000"/>
          <w:sz w:val="24"/>
          <w:szCs w:val="24"/>
        </w:rPr>
        <w:t xml:space="preserve">, но </w:t>
      </w:r>
      <w:r w:rsidRPr="0005798C">
        <w:rPr>
          <w:rFonts w:ascii="Times New Roman" w:hAnsi="Times New Roman"/>
          <w:color w:val="FF0000"/>
          <w:sz w:val="24"/>
          <w:szCs w:val="24"/>
        </w:rPr>
        <w:t>дороже</w:t>
      </w:r>
      <w:r w:rsidRPr="002921D0">
        <w:rPr>
          <w:rFonts w:ascii="Times New Roman" w:hAnsi="Times New Roman"/>
          <w:color w:val="000000"/>
          <w:sz w:val="24"/>
          <w:szCs w:val="24"/>
        </w:rPr>
        <w:t>.</w:t>
      </w:r>
    </w:p>
    <w:p w:rsidR="009F389E" w:rsidRPr="002921D0" w:rsidRDefault="009F389E" w:rsidP="009F389E">
      <w:pPr>
        <w:pStyle w:val="a3"/>
        <w:spacing w:before="0" w:beforeAutospacing="0" w:after="0" w:afterAutospacing="0"/>
        <w:ind w:firstLine="601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 xml:space="preserve">При выборе оптимального варианта были определены стоимости </w:t>
      </w:r>
      <w:proofErr w:type="spellStart"/>
      <w:r w:rsidRPr="002921D0">
        <w:rPr>
          <w:rFonts w:ascii="Times New Roman" w:hAnsi="Times New Roman"/>
          <w:color w:val="000000"/>
          <w:sz w:val="24"/>
          <w:szCs w:val="24"/>
        </w:rPr>
        <w:t>молниезащит</w:t>
      </w:r>
      <w:proofErr w:type="spellEnd"/>
      <w:r w:rsidRPr="002921D0">
        <w:rPr>
          <w:rFonts w:ascii="Times New Roman" w:hAnsi="Times New Roman"/>
          <w:color w:val="000000"/>
          <w:sz w:val="24"/>
          <w:szCs w:val="24"/>
        </w:rPr>
        <w:t xml:space="preserve"> обоих способов и ущербы, которые возникают при поражении подстанций молнией. На основании проведенных сравнений было установлено, что в большинстве случаев предпочтительнее первый способ защиты, а второй способ следует применять лишь тогда, когда первый не обеспечивает </w:t>
      </w:r>
      <w:proofErr w:type="gramStart"/>
      <w:r w:rsidRPr="002921D0">
        <w:rPr>
          <w:rFonts w:ascii="Times New Roman" w:hAnsi="Times New Roman"/>
          <w:color w:val="000000"/>
          <w:sz w:val="24"/>
          <w:szCs w:val="24"/>
        </w:rPr>
        <w:t>необходимую</w:t>
      </w:r>
      <w:proofErr w:type="gramEnd"/>
      <w:r w:rsidRPr="002921D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921D0">
        <w:rPr>
          <w:rFonts w:ascii="Times New Roman" w:hAnsi="Times New Roman"/>
          <w:color w:val="000000"/>
          <w:sz w:val="24"/>
          <w:szCs w:val="24"/>
        </w:rPr>
        <w:t>грозоупорность</w:t>
      </w:r>
      <w:proofErr w:type="spellEnd"/>
      <w:r w:rsidRPr="002921D0">
        <w:rPr>
          <w:rFonts w:ascii="Times New Roman" w:hAnsi="Times New Roman"/>
          <w:color w:val="000000"/>
          <w:sz w:val="24"/>
          <w:szCs w:val="24"/>
        </w:rPr>
        <w:t>.</w:t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 xml:space="preserve">В ПУЭ [1] приведены условия установки молниеотводов на конструкциях. Основные положения этих условий следующие. Защиту от </w:t>
      </w:r>
      <w:r w:rsidRPr="0005798C">
        <w:rPr>
          <w:rFonts w:ascii="Times New Roman" w:hAnsi="Times New Roman"/>
          <w:color w:val="FF0000"/>
          <w:sz w:val="24"/>
          <w:szCs w:val="24"/>
        </w:rPr>
        <w:t>прямых ударов молнии ОРУ 220 кВ и выше необходимо выполнять молниеотводами, устанавливаемыми на конструкциях</w:t>
      </w:r>
      <w:r w:rsidRPr="002921D0">
        <w:rPr>
          <w:rFonts w:ascii="Times New Roman" w:hAnsi="Times New Roman"/>
          <w:color w:val="000000"/>
          <w:sz w:val="24"/>
          <w:szCs w:val="24"/>
        </w:rPr>
        <w:t xml:space="preserve">. Защиту ОРУ 110 кВ можно выполнять на конструкциях при эквивалентном удельном сопротивлении грунта в грозовой сезон </w:t>
      </w:r>
      <w:r w:rsidRPr="002921D0"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>
            <wp:extent cx="504825" cy="184150"/>
            <wp:effectExtent l="19050" t="0" r="9525" b="0"/>
            <wp:docPr id="3" name="Рисунок 3" descr="http://konspekta.net/studopediaorg/baza8/1419586061885.files/image0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konspekta.net/studopediaorg/baza8/1419586061885.files/image063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184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 w:rsidRPr="002921D0">
        <w:rPr>
          <w:rFonts w:ascii="Times New Roman" w:hAnsi="Times New Roman"/>
          <w:color w:val="000000"/>
          <w:sz w:val="24"/>
          <w:szCs w:val="24"/>
        </w:rPr>
        <w:t>Ом×м</w:t>
      </w:r>
      <w:proofErr w:type="spellEnd"/>
      <w:r w:rsidRPr="002921D0">
        <w:rPr>
          <w:rFonts w:ascii="Times New Roman" w:hAnsi="Times New Roman"/>
          <w:color w:val="000000"/>
          <w:sz w:val="24"/>
          <w:szCs w:val="24"/>
        </w:rPr>
        <w:t xml:space="preserve">, а защиту ОРУ 35 кВ – </w:t>
      </w:r>
      <w:proofErr w:type="gramStart"/>
      <w:r w:rsidRPr="002921D0">
        <w:rPr>
          <w:rFonts w:ascii="Times New Roman" w:hAnsi="Times New Roman"/>
          <w:color w:val="000000"/>
          <w:sz w:val="24"/>
          <w:szCs w:val="24"/>
        </w:rPr>
        <w:t>при</w:t>
      </w:r>
      <w:proofErr w:type="gramEnd"/>
      <w:r w:rsidRPr="002921D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921D0"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>
            <wp:extent cx="457200" cy="163830"/>
            <wp:effectExtent l="19050" t="0" r="0" b="0"/>
            <wp:docPr id="4" name="Рисунок 4" descr="http://konspekta.net/studopediaorg/baza8/1419586061885.files/image06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konspekta.net/studopediaorg/baza8/1419586061885.files/image065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163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proofErr w:type="gramStart"/>
      <w:r w:rsidRPr="002921D0">
        <w:rPr>
          <w:rFonts w:ascii="Times New Roman" w:hAnsi="Times New Roman"/>
          <w:color w:val="000000"/>
          <w:sz w:val="24"/>
          <w:szCs w:val="24"/>
        </w:rPr>
        <w:t>Ом</w:t>
      </w:r>
      <w:proofErr w:type="gramEnd"/>
      <w:r w:rsidRPr="002921D0">
        <w:rPr>
          <w:rFonts w:ascii="Times New Roman" w:hAnsi="Times New Roman"/>
          <w:color w:val="000000"/>
          <w:sz w:val="24"/>
          <w:szCs w:val="24"/>
        </w:rPr>
        <w:t>×м</w:t>
      </w:r>
      <w:proofErr w:type="spellEnd"/>
      <w:r w:rsidRPr="002921D0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05798C">
        <w:rPr>
          <w:rFonts w:ascii="Times New Roman" w:hAnsi="Times New Roman"/>
          <w:color w:val="FF0000"/>
          <w:sz w:val="24"/>
          <w:szCs w:val="24"/>
        </w:rPr>
        <w:t>Молниеотводы можно</w:t>
      </w:r>
      <w:r w:rsidRPr="002921D0">
        <w:rPr>
          <w:rFonts w:ascii="Times New Roman" w:hAnsi="Times New Roman"/>
          <w:color w:val="000000"/>
          <w:sz w:val="24"/>
          <w:szCs w:val="24"/>
        </w:rPr>
        <w:t xml:space="preserve"> устанавливать на следующих конструкциях: порталах, опорах линий, прожекторных мачтах, закрытых распределительных устройствах (ЗРУ).</w:t>
      </w:r>
    </w:p>
    <w:p w:rsidR="009F389E" w:rsidRDefault="009F389E" w:rsidP="009F389E">
      <w:pPr>
        <w:pStyle w:val="a3"/>
        <w:spacing w:before="0" w:beforeAutospacing="0" w:after="0" w:afterAutospacing="0"/>
        <w:jc w:val="both"/>
        <w:rPr>
          <w:rStyle w:val="a4"/>
          <w:rFonts w:ascii="Times New Roman" w:hAnsi="Times New Roman"/>
          <w:color w:val="000000"/>
          <w:sz w:val="24"/>
          <w:szCs w:val="24"/>
        </w:rPr>
      </w:pPr>
    </w:p>
    <w:p w:rsidR="009F389E" w:rsidRPr="002921D0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Style w:val="a4"/>
          <w:rFonts w:ascii="Times New Roman" w:hAnsi="Times New Roman"/>
          <w:color w:val="000000"/>
          <w:sz w:val="24"/>
          <w:szCs w:val="24"/>
        </w:rPr>
        <w:lastRenderedPageBreak/>
        <w:t>При каких условиях допускается установка молнии отводов на трансформаторных порталах?</w:t>
      </w:r>
    </w:p>
    <w:p w:rsidR="009F389E" w:rsidRPr="002921D0" w:rsidRDefault="009F389E" w:rsidP="009F389E">
      <w:pPr>
        <w:pStyle w:val="a3"/>
        <w:spacing w:before="0" w:beforeAutospacing="0" w:after="0" w:afterAutospacing="0"/>
        <w:ind w:firstLine="601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 xml:space="preserve">Защиту подстанций от прямых ударов молнии обычно выполняют молниеотводами, устанавливаемыми на конструкциях: порталах, ЗРУ и др. Из всех конструкций самое слабое место на подстанции - это </w:t>
      </w:r>
      <w:r w:rsidRPr="00FF264A">
        <w:rPr>
          <w:rFonts w:ascii="Times New Roman" w:hAnsi="Times New Roman"/>
          <w:color w:val="FF0000"/>
          <w:sz w:val="24"/>
          <w:szCs w:val="24"/>
        </w:rPr>
        <w:t>трансформаторный</w:t>
      </w:r>
      <w:r w:rsidRPr="002921D0">
        <w:rPr>
          <w:rFonts w:ascii="Times New Roman" w:hAnsi="Times New Roman"/>
          <w:color w:val="000000"/>
          <w:sz w:val="24"/>
          <w:szCs w:val="24"/>
        </w:rPr>
        <w:t xml:space="preserve"> портал. При ударе молнии в этот портал возможен пробой изоляции </w:t>
      </w:r>
      <w:r w:rsidRPr="00FF264A">
        <w:rPr>
          <w:rFonts w:ascii="Times New Roman" w:hAnsi="Times New Roman"/>
          <w:color w:val="FF0000"/>
          <w:sz w:val="24"/>
          <w:szCs w:val="24"/>
        </w:rPr>
        <w:t>между корпусом</w:t>
      </w:r>
      <w:r w:rsidRPr="002921D0">
        <w:rPr>
          <w:rFonts w:ascii="Times New Roman" w:hAnsi="Times New Roman"/>
          <w:color w:val="000000"/>
          <w:sz w:val="24"/>
          <w:szCs w:val="24"/>
        </w:rPr>
        <w:t xml:space="preserve"> трансформатора и низковольтной обмоткой. Поэтому на трансформаторном портале рекомендуется устанавливать молниеотводы только в том случае, когда нет других конструкций (например, ЗРУ).</w:t>
      </w:r>
    </w:p>
    <w:p w:rsidR="009F389E" w:rsidRPr="002921D0" w:rsidRDefault="009F389E" w:rsidP="009F389E">
      <w:pPr>
        <w:pStyle w:val="a3"/>
        <w:spacing w:before="0" w:beforeAutospacing="0" w:after="0" w:afterAutospacing="0"/>
        <w:ind w:firstLine="601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При этом на трансформаторных порталах допускается установка молниеотводов при соблюдении условий установки молниеотводов на конструкциях и выполнении следующих дополнительных условий [1, с.57].</w:t>
      </w:r>
    </w:p>
    <w:p w:rsidR="009F389E" w:rsidRPr="002921D0" w:rsidRDefault="009F389E" w:rsidP="009F389E">
      <w:pPr>
        <w:pStyle w:val="a3"/>
        <w:spacing w:before="0" w:beforeAutospacing="0" w:after="0" w:afterAutospacing="0"/>
        <w:ind w:firstLine="601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 xml:space="preserve">1. Удельное сопротивление грунта в грозовой сезон должно быть не более 350 </w:t>
      </w:r>
      <w:proofErr w:type="spellStart"/>
      <w:r w:rsidRPr="002921D0">
        <w:rPr>
          <w:rFonts w:ascii="Times New Roman" w:hAnsi="Times New Roman"/>
          <w:color w:val="000000"/>
          <w:sz w:val="24"/>
          <w:szCs w:val="24"/>
        </w:rPr>
        <w:t>Ом×</w:t>
      </w:r>
      <w:proofErr w:type="gramStart"/>
      <w:r w:rsidRPr="002921D0">
        <w:rPr>
          <w:rFonts w:ascii="Times New Roman" w:hAnsi="Times New Roman"/>
          <w:color w:val="000000"/>
          <w:sz w:val="24"/>
          <w:szCs w:val="24"/>
        </w:rPr>
        <w:t>м</w:t>
      </w:r>
      <w:proofErr w:type="spellEnd"/>
      <w:proofErr w:type="gramEnd"/>
      <w:r w:rsidRPr="002921D0">
        <w:rPr>
          <w:rFonts w:ascii="Times New Roman" w:hAnsi="Times New Roman"/>
          <w:color w:val="000000"/>
          <w:sz w:val="24"/>
          <w:szCs w:val="24"/>
        </w:rPr>
        <w:t>.</w:t>
      </w:r>
    </w:p>
    <w:p w:rsidR="009F389E" w:rsidRPr="002921D0" w:rsidRDefault="009F389E" w:rsidP="009F389E">
      <w:pPr>
        <w:pStyle w:val="a3"/>
        <w:spacing w:before="0" w:beforeAutospacing="0" w:after="0" w:afterAutospacing="0"/>
        <w:ind w:firstLine="601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 xml:space="preserve">2. Место присоединения конструкции с молниеотводом к заземляющему устройству должно быть удалено по магистралям заземления от места присоединения к нему бака трансформатора на расстояние </w:t>
      </w:r>
      <w:r w:rsidRPr="00FF264A">
        <w:rPr>
          <w:rFonts w:ascii="Times New Roman" w:hAnsi="Times New Roman"/>
          <w:color w:val="FF0000"/>
          <w:sz w:val="24"/>
          <w:szCs w:val="24"/>
        </w:rPr>
        <w:t>не менее 15 м</w:t>
      </w:r>
      <w:r w:rsidRPr="002921D0">
        <w:rPr>
          <w:rFonts w:ascii="Times New Roman" w:hAnsi="Times New Roman"/>
          <w:color w:val="000000"/>
          <w:sz w:val="24"/>
          <w:szCs w:val="24"/>
        </w:rPr>
        <w:t xml:space="preserve"> (рис.7.1).</w:t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>
            <wp:extent cx="3950970" cy="2586355"/>
            <wp:effectExtent l="19050" t="0" r="0" b="0"/>
            <wp:docPr id="39" name="Рисунок 39" descr="http://konspekta.net/studopediaorg/baza8/1419586061885.files/image0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konspekta.net/studopediaorg/baza8/1419586061885.files/image06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0970" cy="2586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Рис. 7.1. Установка молниеотводов на трансформаторном портале</w:t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9F389E" w:rsidRPr="002921D0" w:rsidRDefault="009F389E" w:rsidP="009F389E">
      <w:pPr>
        <w:pStyle w:val="a3"/>
        <w:spacing w:before="0" w:beforeAutospacing="0" w:after="0" w:afterAutospacing="0"/>
        <w:ind w:firstLine="601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 xml:space="preserve">3. Непосредственно на выводах обмоток 3 – 35 кВ трансформаторов или на расстоянии не более 5 м от них по ошиновке, включая ответвления к разрядникам, должны </w:t>
      </w:r>
      <w:proofErr w:type="gramStart"/>
      <w:r w:rsidRPr="002921D0">
        <w:rPr>
          <w:rFonts w:ascii="Times New Roman" w:hAnsi="Times New Roman"/>
          <w:color w:val="000000"/>
          <w:sz w:val="24"/>
          <w:szCs w:val="24"/>
        </w:rPr>
        <w:t>быть</w:t>
      </w:r>
      <w:proofErr w:type="gramEnd"/>
      <w:r w:rsidRPr="002921D0">
        <w:rPr>
          <w:rFonts w:ascii="Times New Roman" w:hAnsi="Times New Roman"/>
          <w:color w:val="000000"/>
          <w:sz w:val="24"/>
          <w:szCs w:val="24"/>
        </w:rPr>
        <w:t xml:space="preserve"> установлены соответствующие ОПН 3-35 кВ или РВ.</w:t>
      </w:r>
    </w:p>
    <w:p w:rsidR="009F389E" w:rsidRPr="002921D0" w:rsidRDefault="009F389E" w:rsidP="009F389E">
      <w:pPr>
        <w:pStyle w:val="a3"/>
        <w:spacing w:before="0" w:beforeAutospacing="0" w:after="0" w:afterAutospacing="0"/>
        <w:ind w:firstLine="601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 xml:space="preserve">4. Заземляющие проводники РВ или ОПН и силовых трансформаторов рекомендуется присоединять к заземляющему устройству поблизости </w:t>
      </w:r>
      <w:r w:rsidRPr="00FF264A">
        <w:rPr>
          <w:rFonts w:ascii="Times New Roman" w:hAnsi="Times New Roman"/>
          <w:color w:val="FF0000"/>
          <w:sz w:val="24"/>
          <w:szCs w:val="24"/>
        </w:rPr>
        <w:t>один от другого</w:t>
      </w:r>
      <w:r w:rsidRPr="002921D0">
        <w:rPr>
          <w:rFonts w:ascii="Times New Roman" w:hAnsi="Times New Roman"/>
          <w:color w:val="000000"/>
          <w:sz w:val="24"/>
          <w:szCs w:val="24"/>
        </w:rPr>
        <w:t>.</w:t>
      </w:r>
    </w:p>
    <w:p w:rsidR="009F389E" w:rsidRPr="002921D0" w:rsidRDefault="009F389E" w:rsidP="009F389E">
      <w:pPr>
        <w:pStyle w:val="a3"/>
        <w:spacing w:before="0" w:beforeAutospacing="0" w:after="0" w:afterAutospacing="0"/>
        <w:ind w:firstLine="601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 xml:space="preserve">5. Должно быть обеспечено растекание тока молнии от стойки конструкции с молниеотводом по трем-четырем направлениям с углом не менее </w:t>
      </w:r>
      <w:r w:rsidRPr="00FF264A">
        <w:rPr>
          <w:rFonts w:ascii="Times New Roman" w:hAnsi="Times New Roman"/>
          <w:color w:val="FF0000"/>
          <w:sz w:val="24"/>
          <w:szCs w:val="24"/>
        </w:rPr>
        <w:t>90º</w:t>
      </w:r>
      <w:r w:rsidRPr="002921D0">
        <w:rPr>
          <w:rFonts w:ascii="Times New Roman" w:hAnsi="Times New Roman"/>
          <w:color w:val="000000"/>
          <w:sz w:val="24"/>
          <w:szCs w:val="24"/>
        </w:rPr>
        <w:t xml:space="preserve"> между ними (рис.7.2).</w:t>
      </w:r>
    </w:p>
    <w:p w:rsidR="009F389E" w:rsidRPr="002921D0" w:rsidRDefault="009F389E" w:rsidP="009F389E">
      <w:pPr>
        <w:pStyle w:val="a3"/>
        <w:spacing w:before="0" w:beforeAutospacing="0" w:after="0" w:afterAutospacing="0"/>
        <w:ind w:firstLine="601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6. На каждом направлении, на расстоянии 3-5 м от стойки молниеотвода, должно быть установлено по одному вертикальному электроду длиной 5 м.</w:t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3467953" cy="1767007"/>
            <wp:effectExtent l="19050" t="0" r="0" b="0"/>
            <wp:docPr id="40" name="Рисунок 40" descr="http://konspekta.net/studopediaorg/baza8/1419586061885.files/image0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konspekta.net/studopediaorg/baza8/1419586061885.files/image06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758" cy="17669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Рис.7.2. Снижение импульсного сопротивления молниеотвода</w:t>
      </w:r>
    </w:p>
    <w:p w:rsidR="009F389E" w:rsidRDefault="009F389E" w:rsidP="009F389E">
      <w:pPr>
        <w:pStyle w:val="a3"/>
        <w:spacing w:before="0" w:beforeAutospacing="0" w:after="0" w:afterAutospacing="0"/>
        <w:ind w:firstLine="601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7. На подстанциях с высшим напряжением 35 кВ сопротивление заземляющего контура не должно превышать 4 Ом, о гирлянды изоляторов на порталах ОРУ 35 кВ следует выполнять на класс напряжения 110 кВ.</w:t>
      </w:r>
    </w:p>
    <w:p w:rsidR="009F389E" w:rsidRPr="002921D0" w:rsidRDefault="009F389E" w:rsidP="009F389E">
      <w:pPr>
        <w:pStyle w:val="a3"/>
        <w:spacing w:before="0" w:beforeAutospacing="0" w:after="0" w:afterAutospacing="0"/>
        <w:ind w:firstLine="60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Style w:val="a4"/>
          <w:rFonts w:ascii="Times New Roman" w:hAnsi="Times New Roman"/>
          <w:color w:val="000000"/>
          <w:sz w:val="24"/>
          <w:szCs w:val="24"/>
        </w:rPr>
      </w:pPr>
      <w:r w:rsidRPr="002921D0">
        <w:rPr>
          <w:rStyle w:val="a4"/>
          <w:rFonts w:ascii="Times New Roman" w:hAnsi="Times New Roman"/>
          <w:color w:val="000000"/>
          <w:sz w:val="24"/>
          <w:szCs w:val="24"/>
        </w:rPr>
        <w:t>Что такое подход к подстанции, зачем он нужен, как выбрать его длину?</w:t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9F389E" w:rsidRPr="002921D0" w:rsidRDefault="009F389E" w:rsidP="009F389E">
      <w:pPr>
        <w:pStyle w:val="a3"/>
        <w:spacing w:before="0" w:beforeAutospacing="0" w:after="0" w:afterAutospacing="0"/>
        <w:ind w:firstLine="601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 xml:space="preserve">При </w:t>
      </w:r>
      <w:proofErr w:type="spellStart"/>
      <w:r w:rsidRPr="002921D0">
        <w:rPr>
          <w:rFonts w:ascii="Times New Roman" w:hAnsi="Times New Roman"/>
          <w:color w:val="000000"/>
          <w:sz w:val="24"/>
          <w:szCs w:val="24"/>
        </w:rPr>
        <w:t>пробегании</w:t>
      </w:r>
      <w:proofErr w:type="spellEnd"/>
      <w:r w:rsidRPr="002921D0">
        <w:rPr>
          <w:rFonts w:ascii="Times New Roman" w:hAnsi="Times New Roman"/>
          <w:color w:val="000000"/>
          <w:sz w:val="24"/>
          <w:szCs w:val="24"/>
        </w:rPr>
        <w:t xml:space="preserve"> грозовой волны по ЛЭП под действием короны происходит деформация волны. Скорость волны υ </w:t>
      </w:r>
      <w:r w:rsidRPr="002921D0"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>
            <wp:extent cx="750570" cy="525145"/>
            <wp:effectExtent l="19050" t="0" r="0" b="0"/>
            <wp:docPr id="41" name="Рисунок 41" descr="http://konspekta.net/studopediaorg/baza8/1419586061885.files/image07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konspekta.net/studopediaorg/baza8/1419586061885.files/image071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70" cy="525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921D0">
        <w:rPr>
          <w:rFonts w:ascii="Times New Roman" w:hAnsi="Times New Roman"/>
          <w:color w:val="000000"/>
          <w:sz w:val="24"/>
          <w:szCs w:val="24"/>
        </w:rPr>
        <w:t xml:space="preserve">, где </w:t>
      </w:r>
      <w:r w:rsidRPr="002921D0"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>
            <wp:extent cx="198120" cy="238760"/>
            <wp:effectExtent l="19050" t="0" r="0" b="0"/>
            <wp:docPr id="42" name="Рисунок 42" descr="http://konspekta.net/studopediaorg/baza8/1419586061885.files/image07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://konspekta.net/studopediaorg/baza8/1419586061885.files/image073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921D0">
        <w:rPr>
          <w:rFonts w:ascii="Times New Roman" w:hAnsi="Times New Roman"/>
          <w:color w:val="000000"/>
          <w:sz w:val="24"/>
          <w:szCs w:val="24"/>
        </w:rPr>
        <w:t xml:space="preserve">- удельная индуктивность ЛЭП; </w:t>
      </w:r>
      <w:r w:rsidRPr="002921D0"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>
            <wp:extent cx="225425" cy="238760"/>
            <wp:effectExtent l="0" t="0" r="3175" b="0"/>
            <wp:docPr id="43" name="Рисунок 43" descr="http://konspekta.net/studopediaorg/baza8/1419586061885.files/image07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konspekta.net/studopediaorg/baza8/1419586061885.files/image075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425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921D0">
        <w:rPr>
          <w:rFonts w:ascii="Times New Roman" w:hAnsi="Times New Roman"/>
          <w:color w:val="000000"/>
          <w:sz w:val="24"/>
          <w:szCs w:val="24"/>
        </w:rPr>
        <w:t>- удельная паразитная емкость ЛЭП;</w:t>
      </w:r>
    </w:p>
    <w:p w:rsidR="009F389E" w:rsidRPr="002921D0" w:rsidRDefault="009F389E" w:rsidP="009F389E">
      <w:pPr>
        <w:pStyle w:val="a3"/>
        <w:spacing w:before="0" w:beforeAutospacing="0" w:after="0" w:afterAutospacing="0"/>
        <w:ind w:firstLine="601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 xml:space="preserve">Чем большее расстояние пробегает волна, тем сильнее у нее заваливается фронт и </w:t>
      </w:r>
      <w:r w:rsidRPr="00FF264A">
        <w:rPr>
          <w:rFonts w:ascii="Times New Roman" w:hAnsi="Times New Roman"/>
          <w:color w:val="FF0000"/>
          <w:sz w:val="24"/>
          <w:szCs w:val="24"/>
        </w:rPr>
        <w:t>уменьшается</w:t>
      </w:r>
      <w:r w:rsidRPr="002921D0">
        <w:rPr>
          <w:rFonts w:ascii="Times New Roman" w:hAnsi="Times New Roman"/>
          <w:color w:val="000000"/>
          <w:sz w:val="24"/>
          <w:szCs w:val="24"/>
        </w:rPr>
        <w:t xml:space="preserve"> амплитуда. Длина подхода выбирается так, чтобы волна при ударе молнии за подходом, пробежав подход, стала безопасной для подстанции. Длина подхода зависит от </w:t>
      </w:r>
      <w:r w:rsidRPr="00FF264A">
        <w:rPr>
          <w:rFonts w:ascii="Times New Roman" w:hAnsi="Times New Roman"/>
          <w:color w:val="FF0000"/>
          <w:sz w:val="24"/>
          <w:szCs w:val="24"/>
        </w:rPr>
        <w:t>класса напряжения, типа опор</w:t>
      </w:r>
      <w:r w:rsidRPr="002921D0">
        <w:rPr>
          <w:rFonts w:ascii="Times New Roman" w:hAnsi="Times New Roman"/>
          <w:color w:val="000000"/>
          <w:sz w:val="24"/>
          <w:szCs w:val="24"/>
        </w:rPr>
        <w:t xml:space="preserve"> и составляет 1 – 4 км. Она указана в ПУЭ. Подход к подстанции (рис. 8.1) </w:t>
      </w:r>
      <w:r w:rsidRPr="00FF264A">
        <w:rPr>
          <w:rFonts w:ascii="Times New Roman" w:hAnsi="Times New Roman"/>
          <w:color w:val="FF0000"/>
          <w:sz w:val="24"/>
          <w:szCs w:val="24"/>
        </w:rPr>
        <w:t>длиной 1-4 км</w:t>
      </w:r>
      <w:r w:rsidRPr="002921D0">
        <w:rPr>
          <w:rFonts w:ascii="Times New Roman" w:hAnsi="Times New Roman"/>
          <w:color w:val="000000"/>
          <w:sz w:val="24"/>
          <w:szCs w:val="24"/>
        </w:rPr>
        <w:t xml:space="preserve"> (если в данной местности число грозовых часов более 20 [1]) должен быть обязательно защищен тросом, даже </w:t>
      </w:r>
      <w:proofErr w:type="gramStart"/>
      <w:r w:rsidRPr="002921D0">
        <w:rPr>
          <w:rFonts w:ascii="Times New Roman" w:hAnsi="Times New Roman"/>
          <w:color w:val="000000"/>
          <w:sz w:val="24"/>
          <w:szCs w:val="24"/>
        </w:rPr>
        <w:t>для</w:t>
      </w:r>
      <w:proofErr w:type="gramEnd"/>
      <w:r w:rsidRPr="002921D0">
        <w:rPr>
          <w:rFonts w:ascii="Times New Roman" w:hAnsi="Times New Roman"/>
          <w:color w:val="000000"/>
          <w:sz w:val="24"/>
          <w:szCs w:val="24"/>
        </w:rPr>
        <w:t xml:space="preserve"> ЛЭП на деревянных опорах, где трос не нужен. Подход к подстанции должен быть защищен также тщательно, как и сама подстанция, чтобы исключить на нем прорыв, минуя трос и перекрытие гирлянд.</w:t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>
            <wp:extent cx="3950970" cy="2504440"/>
            <wp:effectExtent l="19050" t="0" r="0" b="0"/>
            <wp:docPr id="44" name="Рисунок 44" descr="http://konspekta.net/studopediaorg/baza8/1419586061885.files/image0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://konspekta.net/studopediaorg/baza8/1419586061885.files/image077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0970" cy="2504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 xml:space="preserve">Рис. 8.1. Подход к подстанции </w:t>
      </w:r>
      <w:proofErr w:type="gramStart"/>
      <w:r w:rsidRPr="002921D0">
        <w:rPr>
          <w:rFonts w:ascii="Times New Roman" w:hAnsi="Times New Roman"/>
          <w:color w:val="000000"/>
          <w:sz w:val="24"/>
          <w:szCs w:val="24"/>
        </w:rPr>
        <w:t>для</w:t>
      </w:r>
      <w:proofErr w:type="gramEnd"/>
      <w:r w:rsidRPr="002921D0">
        <w:rPr>
          <w:rFonts w:ascii="Times New Roman" w:hAnsi="Times New Roman"/>
          <w:color w:val="000000"/>
          <w:sz w:val="24"/>
          <w:szCs w:val="24"/>
        </w:rPr>
        <w:t xml:space="preserve"> ЛЭП на деревянных и металлических опорах</w:t>
      </w:r>
    </w:p>
    <w:p w:rsidR="009F389E" w:rsidRDefault="009F389E" w:rsidP="009F389E">
      <w:pPr>
        <w:pStyle w:val="a3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9F389E" w:rsidRPr="002921D0" w:rsidRDefault="009F389E" w:rsidP="009F389E">
      <w:pPr>
        <w:pStyle w:val="a3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Это достигается следующими мерами [1]:</w:t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а) уменьшением сопротивления опор подхода R £ 10 Ом</w:t>
      </w:r>
      <w:proofErr w:type="gramStart"/>
      <w:r w:rsidRPr="002921D0">
        <w:rPr>
          <w:rFonts w:ascii="Times New Roman" w:hAnsi="Times New Roman"/>
          <w:color w:val="000000"/>
          <w:sz w:val="24"/>
          <w:szCs w:val="24"/>
        </w:rPr>
        <w:t xml:space="preserve"> ;</w:t>
      </w:r>
      <w:proofErr w:type="gramEnd"/>
    </w:p>
    <w:p w:rsidR="009F389E" w:rsidRPr="002921D0" w:rsidRDefault="009F389E" w:rsidP="009F389E">
      <w:pPr>
        <w:pStyle w:val="a3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б) уменьшением защитного угла троса</w:t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 xml:space="preserve">- для одностоечных опор </w:t>
      </w:r>
      <w:proofErr w:type="spellStart"/>
      <w:r w:rsidRPr="002921D0">
        <w:rPr>
          <w:rFonts w:ascii="Times New Roman" w:hAnsi="Times New Roman"/>
          <w:color w:val="000000"/>
          <w:sz w:val="24"/>
          <w:szCs w:val="24"/>
        </w:rPr>
        <w:t>a</w:t>
      </w:r>
      <w:proofErr w:type="spellEnd"/>
      <w:r w:rsidRPr="002921D0">
        <w:rPr>
          <w:rFonts w:ascii="Times New Roman" w:hAnsi="Times New Roman"/>
          <w:color w:val="000000"/>
          <w:sz w:val="24"/>
          <w:szCs w:val="24"/>
        </w:rPr>
        <w:t>£ 20 - 30°;</w:t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lastRenderedPageBreak/>
        <w:t xml:space="preserve">- для портальных опор </w:t>
      </w:r>
      <w:proofErr w:type="spellStart"/>
      <w:r w:rsidRPr="002921D0">
        <w:rPr>
          <w:rFonts w:ascii="Times New Roman" w:hAnsi="Times New Roman"/>
          <w:color w:val="000000"/>
          <w:sz w:val="24"/>
          <w:szCs w:val="24"/>
        </w:rPr>
        <w:t>a</w:t>
      </w:r>
      <w:proofErr w:type="spellEnd"/>
      <w:r w:rsidRPr="002921D0">
        <w:rPr>
          <w:rFonts w:ascii="Times New Roman" w:hAnsi="Times New Roman"/>
          <w:color w:val="000000"/>
          <w:sz w:val="24"/>
          <w:szCs w:val="24"/>
        </w:rPr>
        <w:t>£ 25 - 30°;</w:t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в) установкой трубчатых разрядников</w:t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- для ЛЭП на металлических и железобетонных опорах на первой опоре (РТ</w:t>
      </w:r>
      <w:proofErr w:type="gramStart"/>
      <w:r w:rsidRPr="002921D0">
        <w:rPr>
          <w:rFonts w:ascii="Times New Roman" w:hAnsi="Times New Roman"/>
          <w:color w:val="000000"/>
          <w:sz w:val="24"/>
          <w:szCs w:val="24"/>
        </w:rPr>
        <w:t>1</w:t>
      </w:r>
      <w:proofErr w:type="gramEnd"/>
      <w:r w:rsidRPr="002921D0">
        <w:rPr>
          <w:rFonts w:ascii="Times New Roman" w:hAnsi="Times New Roman"/>
          <w:color w:val="000000"/>
          <w:sz w:val="24"/>
          <w:szCs w:val="24"/>
        </w:rPr>
        <w:t>);</w:t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- для ЛЭП на деревянных опорах на первой и последней (РТ</w:t>
      </w:r>
      <w:proofErr w:type="gramStart"/>
      <w:r w:rsidRPr="002921D0">
        <w:rPr>
          <w:rFonts w:ascii="Times New Roman" w:hAnsi="Times New Roman"/>
          <w:color w:val="000000"/>
          <w:sz w:val="24"/>
          <w:szCs w:val="24"/>
        </w:rPr>
        <w:t>2</w:t>
      </w:r>
      <w:proofErr w:type="gramEnd"/>
      <w:r w:rsidRPr="002921D0">
        <w:rPr>
          <w:rFonts w:ascii="Times New Roman" w:hAnsi="Times New Roman"/>
          <w:color w:val="000000"/>
          <w:sz w:val="24"/>
          <w:szCs w:val="24"/>
        </w:rPr>
        <w:t>) опорах с тросом.</w:t>
      </w:r>
    </w:p>
    <w:p w:rsidR="009F389E" w:rsidRDefault="009F389E" w:rsidP="009F389E">
      <w:pPr>
        <w:pStyle w:val="a3"/>
        <w:spacing w:before="0" w:beforeAutospacing="0" w:after="0" w:afterAutospacing="0"/>
        <w:jc w:val="both"/>
        <w:rPr>
          <w:rStyle w:val="a4"/>
          <w:rFonts w:ascii="Times New Roman" w:hAnsi="Times New Roman"/>
          <w:color w:val="000000"/>
          <w:sz w:val="24"/>
          <w:szCs w:val="24"/>
        </w:rPr>
      </w:pPr>
    </w:p>
    <w:p w:rsidR="009F389E" w:rsidRDefault="009F389E" w:rsidP="009F389E">
      <w:pPr>
        <w:pStyle w:val="a3"/>
        <w:spacing w:before="0" w:beforeAutospacing="0" w:after="0" w:afterAutospacing="0"/>
        <w:jc w:val="center"/>
        <w:rPr>
          <w:rStyle w:val="a4"/>
          <w:rFonts w:ascii="Times New Roman" w:hAnsi="Times New Roman"/>
          <w:color w:val="000000"/>
          <w:sz w:val="24"/>
          <w:szCs w:val="24"/>
        </w:rPr>
      </w:pPr>
      <w:r w:rsidRPr="002921D0">
        <w:rPr>
          <w:rStyle w:val="a4"/>
          <w:rFonts w:ascii="Times New Roman" w:hAnsi="Times New Roman"/>
          <w:color w:val="000000"/>
          <w:sz w:val="24"/>
          <w:szCs w:val="24"/>
        </w:rPr>
        <w:t>Три методики расчёта зон защиты молниеотводов</w:t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9F389E" w:rsidRPr="002921D0" w:rsidRDefault="009F389E" w:rsidP="009F389E">
      <w:pPr>
        <w:pStyle w:val="a3"/>
        <w:spacing w:before="0" w:beforeAutospacing="0" w:after="0" w:afterAutospacing="0"/>
        <w:ind w:firstLine="601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В настоящее время существуют три основные методики определения зон защиты стержневых молниеотводов.</w:t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Первая методика была предложена в ВЭИ на основе обширных лабораторных исследований, проведенных в 1936-1940 гг. А.А. Акопяном. По этой методике зона защиты одиночного молниеотвода представляет собой «шатер» (рис. 9.1). Объекты, находящиеся на границе этой зоны (</w:t>
      </w:r>
      <w:proofErr w:type="spellStart"/>
      <w:r w:rsidRPr="002921D0">
        <w:rPr>
          <w:rFonts w:ascii="Times New Roman" w:hAnsi="Times New Roman"/>
          <w:color w:val="000000"/>
          <w:sz w:val="24"/>
          <w:szCs w:val="24"/>
        </w:rPr>
        <w:t>h</w:t>
      </w:r>
      <w:r w:rsidRPr="002921D0">
        <w:rPr>
          <w:rFonts w:ascii="Times New Roman" w:hAnsi="Times New Roman"/>
          <w:color w:val="000000"/>
          <w:sz w:val="24"/>
          <w:szCs w:val="24"/>
          <w:vertAlign w:val="subscript"/>
        </w:rPr>
        <w:t>x</w:t>
      </w:r>
      <w:proofErr w:type="spellEnd"/>
      <w:r w:rsidRPr="002921D0">
        <w:rPr>
          <w:rFonts w:ascii="Times New Roman" w:hAnsi="Times New Roman"/>
          <w:color w:val="000000"/>
          <w:sz w:val="24"/>
          <w:szCs w:val="24"/>
        </w:rPr>
        <w:t xml:space="preserve">), защищены с вероятностью </w:t>
      </w:r>
      <w:proofErr w:type="gramStart"/>
      <w:r w:rsidRPr="002921D0">
        <w:rPr>
          <w:rFonts w:ascii="Times New Roman" w:hAnsi="Times New Roman"/>
          <w:color w:val="000000"/>
          <w:sz w:val="24"/>
          <w:szCs w:val="24"/>
        </w:rPr>
        <w:t>Р</w:t>
      </w:r>
      <w:proofErr w:type="gramEnd"/>
      <w:r w:rsidRPr="002921D0">
        <w:rPr>
          <w:rFonts w:ascii="Times New Roman" w:hAnsi="Times New Roman"/>
          <w:color w:val="000000"/>
          <w:sz w:val="24"/>
          <w:szCs w:val="24"/>
        </w:rPr>
        <w:t>≈0,999. Эта методика вошла в «Руководящие указания по расчету зон защиты стержневых и тросовых молниеотводов» [9].</w:t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>
            <wp:extent cx="2245360" cy="1439545"/>
            <wp:effectExtent l="19050" t="0" r="2540" b="0"/>
            <wp:docPr id="51" name="Рисунок 51" descr="http://konspekta.net/studopediaorg/baza8/1419586061885.files/image0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://konspekta.net/studopediaorg/baza8/1419586061885.files/image07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5360" cy="1439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Рис. 9.1. Зона защиты одиночного молниеотвода по методике А.А. Акопяна</w:t>
      </w:r>
    </w:p>
    <w:p w:rsidR="009F389E" w:rsidRDefault="009F389E" w:rsidP="009F389E">
      <w:pPr>
        <w:pStyle w:val="a3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9F389E" w:rsidRPr="002921D0" w:rsidRDefault="009F389E" w:rsidP="009F389E">
      <w:pPr>
        <w:pStyle w:val="a3"/>
        <w:spacing w:before="0" w:beforeAutospacing="0" w:after="0" w:afterAutospacing="0"/>
        <w:ind w:firstLine="601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 xml:space="preserve">Затем была предложена упрощенная (вторая) методика расчета зоны защиты одиночного молниеотвода, в которой шатер заменен отрезками двух прямых (рис.9.2). Все расчетные формулы у этой методики такие же, как и у первой, поэтому и высота молниеотводов получается точно такой же. Вероятность защиты по этой методике снижена до </w:t>
      </w:r>
      <w:proofErr w:type="gramStart"/>
      <w:r w:rsidRPr="002921D0">
        <w:rPr>
          <w:rFonts w:ascii="Times New Roman" w:hAnsi="Times New Roman"/>
          <w:color w:val="000000"/>
          <w:sz w:val="24"/>
          <w:szCs w:val="24"/>
        </w:rPr>
        <w:t>Р</w:t>
      </w:r>
      <w:proofErr w:type="gramEnd"/>
      <w:r w:rsidRPr="002921D0">
        <w:rPr>
          <w:rFonts w:ascii="Times New Roman" w:hAnsi="Times New Roman"/>
          <w:color w:val="000000"/>
          <w:sz w:val="24"/>
          <w:szCs w:val="24"/>
        </w:rPr>
        <w:t xml:space="preserve">≈0,99. Эта методика использовалась в старом издании “Инструкции по устройству </w:t>
      </w:r>
      <w:proofErr w:type="spellStart"/>
      <w:r w:rsidRPr="002921D0">
        <w:rPr>
          <w:rFonts w:ascii="Times New Roman" w:hAnsi="Times New Roman"/>
          <w:color w:val="000000"/>
          <w:sz w:val="24"/>
          <w:szCs w:val="24"/>
        </w:rPr>
        <w:t>молниезащиты</w:t>
      </w:r>
      <w:proofErr w:type="spellEnd"/>
      <w:r w:rsidRPr="002921D0">
        <w:rPr>
          <w:rFonts w:ascii="Times New Roman" w:hAnsi="Times New Roman"/>
          <w:color w:val="000000"/>
          <w:sz w:val="24"/>
          <w:szCs w:val="24"/>
        </w:rPr>
        <w:t xml:space="preserve"> зданий и сооружений”. В настоящее время Электротехнический справочник 2002 года [8] рекомендует ее для расчета </w:t>
      </w:r>
      <w:proofErr w:type="spellStart"/>
      <w:r w:rsidRPr="002921D0">
        <w:rPr>
          <w:rFonts w:ascii="Times New Roman" w:hAnsi="Times New Roman"/>
          <w:color w:val="000000"/>
          <w:sz w:val="24"/>
          <w:szCs w:val="24"/>
        </w:rPr>
        <w:t>молниезащиты</w:t>
      </w:r>
      <w:proofErr w:type="spellEnd"/>
      <w:r w:rsidRPr="002921D0">
        <w:rPr>
          <w:rFonts w:ascii="Times New Roman" w:hAnsi="Times New Roman"/>
          <w:color w:val="000000"/>
          <w:sz w:val="24"/>
          <w:szCs w:val="24"/>
        </w:rPr>
        <w:t xml:space="preserve"> подстанций и ЛЭП вместо методики А.А. Акопяна.</w:t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 </w:t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>
            <wp:extent cx="2402205" cy="1692275"/>
            <wp:effectExtent l="19050" t="0" r="0" b="0"/>
            <wp:docPr id="52" name="Рисунок 52" descr="http://konspekta.net/studopediaorg/baza8/1419586061885.files/image0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konspekta.net/studopediaorg/baza8/1419586061885.files/image08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2205" cy="1692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Рис. 9.2. Упрощенная методика построения зоны защиты одиночного молниеотвода</w:t>
      </w:r>
    </w:p>
    <w:p w:rsidR="009F389E" w:rsidRDefault="009F389E" w:rsidP="009F389E">
      <w:pPr>
        <w:pStyle w:val="a3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9F389E" w:rsidRPr="002921D0" w:rsidRDefault="009F389E" w:rsidP="009F389E">
      <w:pPr>
        <w:pStyle w:val="a3"/>
        <w:spacing w:before="0" w:beforeAutospacing="0" w:after="0" w:afterAutospacing="0"/>
        <w:ind w:firstLine="601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Расчетные формулы этих методик были получены на моделях. Наблюдение на реальных молниеотводах показало, что молния не всегда бьет в вершину молниеотвода. Поэтому появилась третья методика, в которой вершина молниеотвода не защищена, а зона защиты одиночного молниеотвода представляет собой круговой конус высотой h</w:t>
      </w:r>
      <w:r w:rsidRPr="002921D0">
        <w:rPr>
          <w:rFonts w:ascii="Times New Roman" w:hAnsi="Times New Roman"/>
          <w:color w:val="000000"/>
          <w:sz w:val="24"/>
          <w:szCs w:val="24"/>
          <w:vertAlign w:val="subscript"/>
        </w:rPr>
        <w:t>0</w:t>
      </w:r>
      <w:r w:rsidRPr="002921D0">
        <w:rPr>
          <w:rFonts w:ascii="Times New Roman" w:hAnsi="Times New Roman"/>
          <w:color w:val="000000"/>
          <w:sz w:val="24"/>
          <w:szCs w:val="24"/>
        </w:rPr>
        <w:t>&lt;</w:t>
      </w:r>
      <w:proofErr w:type="spellStart"/>
      <w:r w:rsidRPr="002921D0">
        <w:rPr>
          <w:rFonts w:ascii="Times New Roman" w:hAnsi="Times New Roman"/>
          <w:color w:val="000000"/>
          <w:sz w:val="24"/>
          <w:szCs w:val="24"/>
        </w:rPr>
        <w:t>h</w:t>
      </w:r>
      <w:proofErr w:type="spellEnd"/>
      <w:r w:rsidRPr="002921D0">
        <w:rPr>
          <w:rFonts w:ascii="Times New Roman" w:hAnsi="Times New Roman"/>
          <w:color w:val="000000"/>
          <w:sz w:val="24"/>
          <w:szCs w:val="24"/>
        </w:rPr>
        <w:t xml:space="preserve"> (рис. 9.3).</w:t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2626995" cy="1630680"/>
            <wp:effectExtent l="19050" t="0" r="1905" b="0"/>
            <wp:docPr id="53" name="Рисунок 53" descr="http://konspekta.net/studopediaorg/baza8/1419586061885.files/image0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://konspekta.net/studopediaorg/baza8/1419586061885.files/image08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6995" cy="1630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Рис. 9.3. Зона защиты одиночного молниеотвода по третьей методике</w:t>
      </w:r>
    </w:p>
    <w:p w:rsidR="009F389E" w:rsidRDefault="009F389E" w:rsidP="009F389E">
      <w:pPr>
        <w:pStyle w:val="a3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9F389E" w:rsidRPr="002921D0" w:rsidRDefault="009F389E" w:rsidP="009F389E">
      <w:pPr>
        <w:pStyle w:val="a3"/>
        <w:spacing w:before="0" w:beforeAutospacing="0" w:after="0" w:afterAutospacing="0"/>
        <w:ind w:firstLine="601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 xml:space="preserve">Эта методика впервые была применена в новом издании “Инструкции по устройству </w:t>
      </w:r>
      <w:proofErr w:type="spellStart"/>
      <w:r w:rsidRPr="002921D0">
        <w:rPr>
          <w:rFonts w:ascii="Times New Roman" w:hAnsi="Times New Roman"/>
          <w:color w:val="000000"/>
          <w:sz w:val="24"/>
          <w:szCs w:val="24"/>
        </w:rPr>
        <w:t>молниезащиты</w:t>
      </w:r>
      <w:proofErr w:type="spellEnd"/>
      <w:r w:rsidRPr="002921D0">
        <w:rPr>
          <w:rFonts w:ascii="Times New Roman" w:hAnsi="Times New Roman"/>
          <w:color w:val="000000"/>
          <w:sz w:val="24"/>
          <w:szCs w:val="24"/>
        </w:rPr>
        <w:t xml:space="preserve"> зданий и сооружений” 1989 г [11]. Надежность защиты по этой методике зависит от категории </w:t>
      </w:r>
      <w:proofErr w:type="spellStart"/>
      <w:r w:rsidRPr="002921D0">
        <w:rPr>
          <w:rFonts w:ascii="Times New Roman" w:hAnsi="Times New Roman"/>
          <w:color w:val="000000"/>
          <w:sz w:val="24"/>
          <w:szCs w:val="24"/>
        </w:rPr>
        <w:t>молниезащиты</w:t>
      </w:r>
      <w:proofErr w:type="spellEnd"/>
      <w:r w:rsidRPr="002921D0">
        <w:rPr>
          <w:rFonts w:ascii="Times New Roman" w:hAnsi="Times New Roman"/>
          <w:color w:val="000000"/>
          <w:sz w:val="24"/>
          <w:szCs w:val="24"/>
        </w:rPr>
        <w:t xml:space="preserve"> зданий и сооружений в зависимости от наличия взрывоопасных и пожароопасных зон. Все здания и сооружения разбиты на I-III категории и защищаются зоной</w:t>
      </w:r>
      <w:proofErr w:type="gramStart"/>
      <w:r w:rsidRPr="002921D0">
        <w:rPr>
          <w:rFonts w:ascii="Times New Roman" w:hAnsi="Times New Roman"/>
          <w:color w:val="000000"/>
          <w:sz w:val="24"/>
          <w:szCs w:val="24"/>
        </w:rPr>
        <w:t xml:space="preserve"> А</w:t>
      </w:r>
      <w:proofErr w:type="gramEnd"/>
      <w:r w:rsidRPr="002921D0">
        <w:rPr>
          <w:rFonts w:ascii="Times New Roman" w:hAnsi="Times New Roman"/>
          <w:color w:val="000000"/>
          <w:sz w:val="24"/>
          <w:szCs w:val="24"/>
        </w:rPr>
        <w:t xml:space="preserve"> (с надежностью 99,5%) или зоной Б (с надежностью 95%). Инструкция не распространялась на расчет </w:t>
      </w:r>
      <w:proofErr w:type="spellStart"/>
      <w:r w:rsidRPr="002921D0">
        <w:rPr>
          <w:rFonts w:ascii="Times New Roman" w:hAnsi="Times New Roman"/>
          <w:color w:val="000000"/>
          <w:sz w:val="24"/>
          <w:szCs w:val="24"/>
        </w:rPr>
        <w:t>молниезащиты</w:t>
      </w:r>
      <w:proofErr w:type="spellEnd"/>
      <w:r w:rsidRPr="002921D0">
        <w:rPr>
          <w:rFonts w:ascii="Times New Roman" w:hAnsi="Times New Roman"/>
          <w:color w:val="000000"/>
          <w:sz w:val="24"/>
          <w:szCs w:val="24"/>
        </w:rPr>
        <w:t xml:space="preserve"> станций и подстанций, поэтому было рекомендовано защищать их </w:t>
      </w:r>
      <w:proofErr w:type="gramStart"/>
      <w:r w:rsidRPr="002921D0">
        <w:rPr>
          <w:rFonts w:ascii="Times New Roman" w:hAnsi="Times New Roman"/>
          <w:color w:val="000000"/>
          <w:sz w:val="24"/>
          <w:szCs w:val="24"/>
        </w:rPr>
        <w:t>по прежнему</w:t>
      </w:r>
      <w:proofErr w:type="gramEnd"/>
      <w:r w:rsidRPr="002921D0">
        <w:rPr>
          <w:rFonts w:ascii="Times New Roman" w:hAnsi="Times New Roman"/>
          <w:color w:val="000000"/>
          <w:sz w:val="24"/>
          <w:szCs w:val="24"/>
        </w:rPr>
        <w:t xml:space="preserve"> по первой методике [8]. Эту методику ПУЭ (6 издание) рекомендовало использовать лишь при защите зданий маслохозяйства, резервуаров с горючими жидкостями или газами и т.д., находящимися на территории подстанции.</w:t>
      </w:r>
    </w:p>
    <w:p w:rsidR="009F389E" w:rsidRPr="002921D0" w:rsidRDefault="009F389E" w:rsidP="009F389E">
      <w:pPr>
        <w:pStyle w:val="a3"/>
        <w:spacing w:before="0" w:beforeAutospacing="0" w:after="0" w:afterAutospacing="0"/>
        <w:ind w:firstLine="601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>Затем “Руководство по защите электрических сетей 6-1150кВ от грозовых и внутренних перенапряжений. СПб, 1999” [2] распространило эту методику и на расчет подстанций (до 750 кВ - зона</w:t>
      </w:r>
      <w:proofErr w:type="gramStart"/>
      <w:r w:rsidRPr="002921D0">
        <w:rPr>
          <w:rFonts w:ascii="Times New Roman" w:hAnsi="Times New Roman"/>
          <w:color w:val="000000"/>
          <w:sz w:val="24"/>
          <w:szCs w:val="24"/>
        </w:rPr>
        <w:t xml:space="preserve"> А</w:t>
      </w:r>
      <w:proofErr w:type="gramEnd"/>
      <w:r w:rsidRPr="002921D0">
        <w:rPr>
          <w:rFonts w:ascii="Times New Roman" w:hAnsi="Times New Roman"/>
          <w:color w:val="000000"/>
          <w:sz w:val="24"/>
          <w:szCs w:val="24"/>
        </w:rPr>
        <w:t>, а 750 кВ и выше – зона Б).</w:t>
      </w:r>
    </w:p>
    <w:p w:rsidR="009F389E" w:rsidRPr="002921D0" w:rsidRDefault="009F389E" w:rsidP="009F389E">
      <w:pPr>
        <w:pStyle w:val="a3"/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</w:rPr>
      </w:pPr>
      <w:r w:rsidRPr="002921D0">
        <w:rPr>
          <w:rFonts w:ascii="Times New Roman" w:hAnsi="Times New Roman"/>
          <w:color w:val="000000"/>
          <w:sz w:val="24"/>
          <w:szCs w:val="24"/>
        </w:rPr>
        <w:t xml:space="preserve">В дальнейшем методика была усовершенствована в соответствии с рекомендациями МЭК и используется в последнем издании “Инструкции по устройству </w:t>
      </w:r>
      <w:proofErr w:type="spellStart"/>
      <w:r w:rsidRPr="002921D0">
        <w:rPr>
          <w:rFonts w:ascii="Times New Roman" w:hAnsi="Times New Roman"/>
          <w:color w:val="000000"/>
          <w:sz w:val="24"/>
          <w:szCs w:val="24"/>
        </w:rPr>
        <w:t>молниезащиты</w:t>
      </w:r>
      <w:proofErr w:type="spellEnd"/>
      <w:r w:rsidRPr="002921D0">
        <w:rPr>
          <w:rFonts w:ascii="Times New Roman" w:hAnsi="Times New Roman"/>
          <w:color w:val="000000"/>
          <w:sz w:val="24"/>
          <w:szCs w:val="24"/>
        </w:rPr>
        <w:t xml:space="preserve"> зданий и сооружений” [10]. Теперь надежность защиты по этой методике изменяется от 0,8 до 0,999 в зависимости от ущерба. Третья методика неудобна для расчетов, так как она позволяет определять высоты только 2 молниеотводов, а первая и вторая – трех или четырех сразу.</w:t>
      </w:r>
    </w:p>
    <w:p w:rsidR="009F389E" w:rsidRPr="009F389E" w:rsidRDefault="009F389E">
      <w:pPr>
        <w:rPr>
          <w:rFonts w:ascii="Times New Roman" w:hAnsi="Times New Roman" w:cs="Times New Roman"/>
          <w:sz w:val="28"/>
        </w:rPr>
      </w:pPr>
    </w:p>
    <w:sectPr w:rsidR="009F389E" w:rsidRPr="009F389E" w:rsidSect="00C860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1E6D2B"/>
    <w:multiLevelType w:val="hybridMultilevel"/>
    <w:tmpl w:val="F886B880"/>
    <w:lvl w:ilvl="0" w:tplc="F61054C8">
      <w:start w:val="1"/>
      <w:numFmt w:val="decimal"/>
      <w:lvlText w:val="%1."/>
      <w:lvlJc w:val="left"/>
      <w:pPr>
        <w:ind w:left="4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7" w:hanging="360"/>
      </w:pPr>
    </w:lvl>
    <w:lvl w:ilvl="2" w:tplc="0419001B" w:tentative="1">
      <w:start w:val="1"/>
      <w:numFmt w:val="lowerRoman"/>
      <w:lvlText w:val="%3."/>
      <w:lvlJc w:val="right"/>
      <w:pPr>
        <w:ind w:left="1907" w:hanging="180"/>
      </w:pPr>
    </w:lvl>
    <w:lvl w:ilvl="3" w:tplc="0419000F" w:tentative="1">
      <w:start w:val="1"/>
      <w:numFmt w:val="decimal"/>
      <w:lvlText w:val="%4."/>
      <w:lvlJc w:val="left"/>
      <w:pPr>
        <w:ind w:left="2627" w:hanging="360"/>
      </w:pPr>
    </w:lvl>
    <w:lvl w:ilvl="4" w:tplc="04190019" w:tentative="1">
      <w:start w:val="1"/>
      <w:numFmt w:val="lowerLetter"/>
      <w:lvlText w:val="%5."/>
      <w:lvlJc w:val="left"/>
      <w:pPr>
        <w:ind w:left="3347" w:hanging="360"/>
      </w:pPr>
    </w:lvl>
    <w:lvl w:ilvl="5" w:tplc="0419001B" w:tentative="1">
      <w:start w:val="1"/>
      <w:numFmt w:val="lowerRoman"/>
      <w:lvlText w:val="%6."/>
      <w:lvlJc w:val="right"/>
      <w:pPr>
        <w:ind w:left="4067" w:hanging="180"/>
      </w:pPr>
    </w:lvl>
    <w:lvl w:ilvl="6" w:tplc="0419000F" w:tentative="1">
      <w:start w:val="1"/>
      <w:numFmt w:val="decimal"/>
      <w:lvlText w:val="%7."/>
      <w:lvlJc w:val="left"/>
      <w:pPr>
        <w:ind w:left="4787" w:hanging="360"/>
      </w:pPr>
    </w:lvl>
    <w:lvl w:ilvl="7" w:tplc="04190019" w:tentative="1">
      <w:start w:val="1"/>
      <w:numFmt w:val="lowerLetter"/>
      <w:lvlText w:val="%8."/>
      <w:lvlJc w:val="left"/>
      <w:pPr>
        <w:ind w:left="5507" w:hanging="360"/>
      </w:pPr>
    </w:lvl>
    <w:lvl w:ilvl="8" w:tplc="0419001B" w:tentative="1">
      <w:start w:val="1"/>
      <w:numFmt w:val="lowerRoman"/>
      <w:lvlText w:val="%9."/>
      <w:lvlJc w:val="right"/>
      <w:pPr>
        <w:ind w:left="622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F389E"/>
    <w:rsid w:val="002C0874"/>
    <w:rsid w:val="005A6122"/>
    <w:rsid w:val="009F389E"/>
    <w:rsid w:val="00C860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0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F389E"/>
    <w:pPr>
      <w:spacing w:before="100" w:beforeAutospacing="1" w:after="100" w:afterAutospacing="1" w:line="240" w:lineRule="auto"/>
      <w:ind w:left="107" w:right="54"/>
    </w:pPr>
    <w:rPr>
      <w:rFonts w:ascii="Verdana" w:eastAsia="Times New Roman" w:hAnsi="Verdana" w:cs="Times New Roman"/>
      <w:sz w:val="15"/>
      <w:szCs w:val="15"/>
      <w:lang w:eastAsia="ru-RU"/>
    </w:rPr>
  </w:style>
  <w:style w:type="character" w:styleId="a4">
    <w:name w:val="Strong"/>
    <w:basedOn w:val="a0"/>
    <w:uiPriority w:val="22"/>
    <w:qFormat/>
    <w:rsid w:val="009F389E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9F38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F389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gi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gif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1391</Words>
  <Characters>7929</Characters>
  <Application>Microsoft Office Word</Application>
  <DocSecurity>0</DocSecurity>
  <Lines>66</Lines>
  <Paragraphs>18</Paragraphs>
  <ScaleCrop>false</ScaleCrop>
  <Company>Grizli777</Company>
  <LinksUpToDate>false</LinksUpToDate>
  <CharactersWithSpaces>9302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2</cp:revision>
  <dcterms:created xsi:type="dcterms:W3CDTF">2020-06-05T16:39:00Z</dcterms:created>
  <dcterms:modified xsi:type="dcterms:W3CDTF">2020-06-05T16:39:00Z</dcterms:modified>
</cp:coreProperties>
</file>